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rPr>
          <w:rFonts w:hint="default" w:ascii="Times New Roman" w:hAnsi="Times New Roman" w:cs="Times New Roman"/>
        </w:rPr>
      </w:pPr>
    </w:p>
    <w:p>
      <w:pPr>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昆明市“饮净水”行动实施方案</w:t>
      </w:r>
    </w:p>
    <w:p>
      <w:pPr>
        <w:spacing w:line="560" w:lineRule="exact"/>
        <w:ind w:firstLine="56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根据《昆明市人民政府办公室关于推进云南省第三轮</w:t>
      </w:r>
      <w:r>
        <w:rPr>
          <w:rFonts w:hint="default" w:ascii="Times New Roman" w:hAnsi="Times New Roman" w:eastAsia="仿宋_GB2312" w:cs="Times New Roman"/>
          <w:sz w:val="32"/>
          <w:szCs w:val="32"/>
          <w:lang w:eastAsia="zh-CN"/>
        </w:rPr>
        <w:t>爱</w:t>
      </w:r>
      <w:r>
        <w:rPr>
          <w:rFonts w:hint="default" w:ascii="Times New Roman" w:hAnsi="Times New Roman" w:eastAsia="仿宋_GB2312" w:cs="Times New Roman"/>
          <w:sz w:val="32"/>
          <w:szCs w:val="32"/>
        </w:rPr>
        <w:t>国卫生“7个专项行动”的通知》（昆政办〔2025〕21号）要求，现制定“饮净水”行动实施方案如下。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一、总体要求与目标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深入贯彻习近平总书记关于健康中国建设的重要论述和关于爱国卫生运动的重要指示批示精神，按照《云南省推进第三轮爱国卫生“7个专项行动”促进健康县城高质量发展实施方案（2025—2027年）》要求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水量足、水压稳、水质优、运行好、监管严为主要目标，加强集中式饮用水水源地保护，强化城乡供水设施建设运营，完善二次供水设施长效管理机制，扩大城乡水质监测覆盖范围，实现水源地监管能力、保障能力、水质检测监测能力和应急能力，全方位、全过程保障群众喝上放心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二、工作计划</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（一）动员部署阶段（2025 年6—7 月）。</w:t>
      </w:r>
      <w:r>
        <w:rPr>
          <w:rFonts w:hint="default" w:ascii="Times New Roman" w:hAnsi="Times New Roman" w:eastAsia="仿宋_GB2312" w:cs="Times New Roman"/>
          <w:sz w:val="32"/>
          <w:szCs w:val="32"/>
        </w:rPr>
        <w:t>市水务局牵头会同</w:t>
      </w:r>
      <w:r>
        <w:rPr>
          <w:rFonts w:hint="default" w:ascii="Times New Roman" w:hAnsi="Times New Roman" w:eastAsia="仿宋_GB2312" w:cs="Times New Roman"/>
          <w:sz w:val="32"/>
          <w:szCs w:val="32"/>
          <w:lang w:val="en-US"/>
        </w:rPr>
        <w:t>市生态环境局、市发展改革委、</w:t>
      </w:r>
      <w:r>
        <w:rPr>
          <w:rFonts w:hint="eastAsia" w:ascii="Times New Roman" w:hAnsi="Times New Roman" w:eastAsia="仿宋_GB2312" w:cs="Times New Roman"/>
          <w:sz w:val="32"/>
          <w:szCs w:val="32"/>
          <w:lang w:val="en-US" w:eastAsia="zh-CN"/>
        </w:rPr>
        <w:t>市住房城乡建设局、</w:t>
      </w:r>
      <w:r>
        <w:rPr>
          <w:rFonts w:hint="default" w:ascii="Times New Roman" w:hAnsi="Times New Roman" w:eastAsia="仿宋_GB2312" w:cs="Times New Roman"/>
          <w:sz w:val="32"/>
          <w:szCs w:val="32"/>
          <w:lang w:val="en-US"/>
        </w:rPr>
        <w:t>市卫生健康委、市市场监管局、市应急管理局、市公安局</w:t>
      </w:r>
      <w:r>
        <w:rPr>
          <w:rFonts w:hint="default" w:ascii="Times New Roman" w:hAnsi="Times New Roman" w:eastAsia="仿宋_GB2312" w:cs="Times New Roman"/>
          <w:sz w:val="32"/>
          <w:szCs w:val="32"/>
        </w:rPr>
        <w:t>开展动员部署，编制“饮净水”工作手册（任务清单）。各单位根据方案要求制定工作计划，明确工作目标、重点任务、责任部门、保障措施，全面启动“饮净水”专项行动。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（二）组织实施阶段（2025年8 月—2027 年6 月）</w:t>
      </w:r>
      <w:r>
        <w:rPr>
          <w:rFonts w:hint="default" w:ascii="Times New Roman" w:hAnsi="Times New Roman" w:eastAsia="仿宋_GB2312" w:cs="Times New Roman"/>
          <w:sz w:val="32"/>
          <w:szCs w:val="32"/>
        </w:rPr>
        <w:t>。强化工作指导，分级排查饮用水全过程存在的问题，建立动态工作清单，定期调度推动落实。重点做好水质异常水源地整治、老化供水设施更新改造、二次供水设施移交管理、供水用水违法查处等工作，推动“饮净水”专项行动目标任务全面完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（三）巩固提升阶段（2027年7</w:t>
      </w:r>
      <w:r>
        <w:rPr>
          <w:rFonts w:hint="eastAsia" w:eastAsia="楷体" w:cs="Times New Roman"/>
          <w:sz w:val="32"/>
          <w:szCs w:val="32"/>
          <w:lang w:eastAsia="zh-CN"/>
        </w:rPr>
        <w:t>月</w:t>
      </w:r>
      <w:r>
        <w:rPr>
          <w:rFonts w:hint="default" w:ascii="Times New Roman" w:hAnsi="Times New Roman" w:eastAsia="楷体" w:cs="Times New Roman"/>
          <w:sz w:val="32"/>
          <w:szCs w:val="32"/>
        </w:rPr>
        <w:t>—12 月）。</w:t>
      </w:r>
      <w:r>
        <w:rPr>
          <w:rFonts w:hint="default" w:ascii="Times New Roman" w:hAnsi="Times New Roman" w:eastAsia="仿宋_GB2312" w:cs="Times New Roman"/>
          <w:sz w:val="32"/>
          <w:szCs w:val="32"/>
        </w:rPr>
        <w:t>全面查缺补漏，总结工作经验和成效，转化工作成果，形成水源水到龙头水全过程监管长效机制，守护人民群众饮用水安全健康。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（一）压实饮净水行动责任。</w:t>
      </w:r>
      <w:r>
        <w:rPr>
          <w:rFonts w:hint="default" w:ascii="Times New Roman" w:hAnsi="Times New Roman" w:eastAsia="仿宋_GB2312" w:cs="Times New Roman"/>
          <w:sz w:val="32"/>
          <w:szCs w:val="32"/>
          <w:lang w:val="en-US" w:eastAsia="zh-CN"/>
        </w:rPr>
        <w:t>市级各相关部门（单位）、各县（市）区行业主管部门</w:t>
      </w:r>
      <w:r>
        <w:rPr>
          <w:rFonts w:hint="default" w:ascii="Times New Roman" w:hAnsi="Times New Roman" w:eastAsia="仿宋_GB2312" w:cs="Times New Roman"/>
          <w:sz w:val="32"/>
          <w:szCs w:val="32"/>
        </w:rPr>
        <w:t>要结合工作目标、重点任务有关要求，完善工作体制机制，进一步梳理</w:t>
      </w:r>
      <w:r>
        <w:rPr>
          <w:rFonts w:hint="default" w:ascii="Times New Roman" w:hAnsi="Times New Roman" w:eastAsia="仿宋_GB2312" w:cs="Times New Roman"/>
          <w:sz w:val="32"/>
          <w:szCs w:val="32"/>
          <w:lang w:val="en-US" w:eastAsia="zh-CN"/>
        </w:rPr>
        <w:t>饮净水行动</w:t>
      </w:r>
      <w:r>
        <w:rPr>
          <w:rFonts w:hint="default" w:ascii="Times New Roman" w:hAnsi="Times New Roman" w:eastAsia="仿宋_GB2312" w:cs="Times New Roman"/>
          <w:sz w:val="32"/>
          <w:szCs w:val="32"/>
        </w:rPr>
        <w:t>责任清单，将各项任务层层落实。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（二）强化部门协作与信息共享。</w:t>
      </w:r>
      <w:r>
        <w:rPr>
          <w:rFonts w:hint="default" w:ascii="Times New Roman" w:hAnsi="Times New Roman" w:eastAsia="仿宋_GB2312" w:cs="Times New Roman"/>
          <w:sz w:val="32"/>
          <w:szCs w:val="32"/>
          <w:lang w:val="en-US" w:eastAsia="zh-CN"/>
        </w:rPr>
        <w:t>各县（市）区行业主管部门</w:t>
      </w:r>
      <w:r>
        <w:rPr>
          <w:rFonts w:hint="default" w:ascii="Times New Roman" w:hAnsi="Times New Roman" w:eastAsia="仿宋_GB2312" w:cs="Times New Roman"/>
          <w:sz w:val="32"/>
          <w:szCs w:val="32"/>
        </w:rPr>
        <w:t>要加强与同级生态环境、卫生健康、市场监管、住房城乡、应急等部门的协同联动，共享城乡供水工程台账，及时获取相关部门水源水质、供水水质监测评价结果，并采取措施消除水质不达标问题。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sz w:val="32"/>
          <w:szCs w:val="32"/>
        </w:rPr>
        <w:t>（三）保障资金投入。</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县（市）区</w:t>
      </w:r>
      <w:r>
        <w:rPr>
          <w:rFonts w:hint="default" w:ascii="Times New Roman" w:hAnsi="Times New Roman" w:eastAsia="仿宋_GB2312" w:cs="Times New Roman"/>
          <w:sz w:val="32"/>
          <w:szCs w:val="32"/>
          <w:lang w:val="en-US" w:eastAsia="zh-CN"/>
        </w:rPr>
        <w:t>水行政主管部</w:t>
      </w:r>
      <w:r>
        <w:rPr>
          <w:rFonts w:hint="default" w:ascii="Times New Roman" w:hAnsi="Times New Roman" w:eastAsia="仿宋_GB2312" w:cs="Times New Roman"/>
          <w:color w:val="auto"/>
          <w:sz w:val="32"/>
          <w:szCs w:val="32"/>
          <w:lang w:val="en-US" w:eastAsia="zh-CN"/>
        </w:rPr>
        <w:t>门要</w:t>
      </w:r>
      <w:r>
        <w:rPr>
          <w:rFonts w:hint="default" w:ascii="Times New Roman" w:hAnsi="Times New Roman" w:eastAsia="仿宋_GB2312" w:cs="Times New Roman"/>
          <w:color w:val="auto"/>
          <w:sz w:val="32"/>
          <w:szCs w:val="32"/>
        </w:rPr>
        <w:t>依托城乡供水一体化三年行动项目等，统筹乡村振兴衔接资金、中央水利发展资金，统筹生态环境、卫生健康、住房城乡等部门经费，开展水源地划定、水质提升、水质检测监测等工作。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（四）</w:t>
      </w:r>
      <w:r>
        <w:rPr>
          <w:rFonts w:hint="default" w:ascii="Times New Roman" w:hAnsi="Times New Roman" w:eastAsia="楷体" w:cs="Times New Roman"/>
          <w:sz w:val="32"/>
          <w:szCs w:val="32"/>
          <w:lang w:eastAsia="zh-CN"/>
        </w:rPr>
        <w:t>强化行业指导。</w:t>
      </w:r>
      <w:r>
        <w:rPr>
          <w:rFonts w:hint="default" w:ascii="Times New Roman" w:hAnsi="Times New Roman" w:eastAsia="仿宋_GB2312" w:cs="Times New Roman"/>
          <w:color w:val="auto"/>
          <w:sz w:val="32"/>
          <w:szCs w:val="32"/>
        </w:rPr>
        <w:t>市水务局将</w:t>
      </w:r>
      <w:r>
        <w:rPr>
          <w:rFonts w:hint="default" w:ascii="Times New Roman" w:hAnsi="Times New Roman" w:eastAsia="仿宋_GB2312" w:cs="Times New Roman"/>
          <w:color w:val="auto"/>
          <w:sz w:val="32"/>
          <w:szCs w:val="32"/>
          <w:lang w:val="en-US"/>
        </w:rPr>
        <w:t>会同市级牵头单位</w:t>
      </w:r>
      <w:r>
        <w:rPr>
          <w:rFonts w:hint="default" w:ascii="Times New Roman" w:hAnsi="Times New Roman" w:eastAsia="仿宋_GB2312" w:cs="Times New Roman"/>
          <w:color w:val="auto"/>
          <w:sz w:val="32"/>
          <w:szCs w:val="32"/>
        </w:rPr>
        <w:t>做好行业指导，定期调度工作情况，及时发现</w:t>
      </w:r>
      <w:r>
        <w:rPr>
          <w:rFonts w:hint="default" w:ascii="Times New Roman" w:hAnsi="Times New Roman" w:eastAsia="仿宋_GB2312" w:cs="Times New Roman"/>
          <w:color w:val="auto"/>
          <w:sz w:val="32"/>
          <w:szCs w:val="32"/>
          <w:lang w:val="en-US"/>
        </w:rPr>
        <w:t>并研究</w:t>
      </w:r>
      <w:r>
        <w:rPr>
          <w:rFonts w:hint="default" w:ascii="Times New Roman" w:hAnsi="Times New Roman" w:eastAsia="仿宋_GB2312" w:cs="Times New Roman"/>
          <w:color w:val="auto"/>
          <w:sz w:val="32"/>
          <w:szCs w:val="32"/>
        </w:rPr>
        <w:t>解决问题。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（五）</w:t>
      </w:r>
      <w:r>
        <w:rPr>
          <w:rFonts w:hint="default" w:ascii="Times New Roman" w:hAnsi="Times New Roman" w:eastAsia="楷体" w:cs="Times New Roman"/>
          <w:sz w:val="32"/>
          <w:szCs w:val="32"/>
          <w:lang w:eastAsia="zh-CN"/>
        </w:rPr>
        <w:t>履行主体责任。</w:t>
      </w:r>
      <w:r>
        <w:rPr>
          <w:rFonts w:hint="default" w:ascii="Times New Roman" w:hAnsi="Times New Roman" w:eastAsia="仿宋_GB2312" w:cs="Times New Roman"/>
          <w:sz w:val="32"/>
          <w:szCs w:val="32"/>
          <w:lang w:val="en-US"/>
        </w:rPr>
        <w:t>市水务局、</w:t>
      </w:r>
      <w:r>
        <w:rPr>
          <w:rFonts w:hint="default" w:ascii="Times New Roman" w:hAnsi="Times New Roman" w:eastAsia="仿宋_GB2312" w:cs="Times New Roman"/>
          <w:sz w:val="32"/>
          <w:szCs w:val="32"/>
        </w:rPr>
        <w:t>市生态环境局、市发改委、市住房城乡建设局、市卫生健康委、市市场监管局、市应急管理局、市公安局</w:t>
      </w:r>
      <w:r>
        <w:rPr>
          <w:rFonts w:hint="default" w:ascii="Times New Roman" w:hAnsi="Times New Roman" w:eastAsia="仿宋_GB2312" w:cs="Times New Roman"/>
          <w:sz w:val="32"/>
          <w:szCs w:val="32"/>
          <w:lang w:val="en-US"/>
        </w:rPr>
        <w:t>和各县（市）区供水行政主管部门，</w:t>
      </w:r>
      <w:r>
        <w:rPr>
          <w:rFonts w:hint="default" w:ascii="Times New Roman" w:hAnsi="Times New Roman" w:eastAsia="仿宋_GB2312" w:cs="Times New Roman"/>
          <w:sz w:val="32"/>
          <w:szCs w:val="32"/>
        </w:rPr>
        <w:t>昆明自来水集团有限公司要</w:t>
      </w:r>
      <w:r>
        <w:rPr>
          <w:rFonts w:hint="default" w:ascii="Times New Roman" w:hAnsi="Times New Roman" w:eastAsia="仿宋_GB2312" w:cs="Times New Roman"/>
          <w:sz w:val="32"/>
          <w:szCs w:val="32"/>
          <w:lang w:val="en-US"/>
        </w:rPr>
        <w:t>根据职能职责</w:t>
      </w:r>
      <w:r>
        <w:rPr>
          <w:rFonts w:hint="default" w:ascii="Times New Roman" w:hAnsi="Times New Roman" w:eastAsia="仿宋_GB2312" w:cs="Times New Roman"/>
          <w:sz w:val="32"/>
          <w:szCs w:val="32"/>
        </w:rPr>
        <w:t>，切实履行主体责任，健全长效机制，明确年度工作目标，抓好</w:t>
      </w:r>
      <w:r>
        <w:rPr>
          <w:rFonts w:hint="default" w:ascii="Times New Roman" w:hAnsi="Times New Roman" w:eastAsia="仿宋_GB2312" w:cs="Times New Roman"/>
          <w:sz w:val="32"/>
          <w:szCs w:val="32"/>
          <w:lang w:val="en-US"/>
        </w:rPr>
        <w:t>工作</w:t>
      </w:r>
      <w:r>
        <w:rPr>
          <w:rFonts w:hint="default" w:ascii="Times New Roman" w:hAnsi="Times New Roman" w:eastAsia="仿宋_GB2312" w:cs="Times New Roman"/>
          <w:sz w:val="32"/>
          <w:szCs w:val="32"/>
        </w:rPr>
        <w:t>落实。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（六）加强信息报送。</w:t>
      </w:r>
      <w:r>
        <w:rPr>
          <w:rFonts w:hint="default" w:ascii="Times New Roman" w:hAnsi="Times New Roman" w:eastAsia="仿宋_GB2312" w:cs="Times New Roman"/>
          <w:sz w:val="32"/>
          <w:szCs w:val="32"/>
        </w:rPr>
        <w:t>建立季</w:t>
      </w:r>
      <w:r>
        <w:rPr>
          <w:rFonts w:hint="default" w:ascii="Times New Roman" w:hAnsi="Times New Roman" w:eastAsia="仿宋_GB2312" w:cs="Times New Roman"/>
          <w:sz w:val="32"/>
          <w:szCs w:val="32"/>
          <w:lang w:val="en-US"/>
        </w:rPr>
        <w:t>度</w:t>
      </w:r>
      <w:r>
        <w:rPr>
          <w:rFonts w:hint="default" w:ascii="Times New Roman" w:hAnsi="Times New Roman" w:eastAsia="仿宋_GB2312" w:cs="Times New Roman"/>
          <w:sz w:val="32"/>
          <w:szCs w:val="32"/>
        </w:rPr>
        <w:t>报送工作机制。各责任单位自本方案下发之日起每季度末，将上季度工作进展、存在问题、下步措施等有关情况报送市水务局</w:t>
      </w:r>
      <w:r>
        <w:rPr>
          <w:rFonts w:hint="default" w:ascii="Times New Roman" w:hAnsi="Times New Roman" w:eastAsia="仿宋_GB2312" w:cs="Times New Roman"/>
          <w:sz w:val="32"/>
          <w:szCs w:val="32"/>
          <w:lang w:val="en-US"/>
        </w:rPr>
        <w:t>水资源处</w:t>
      </w:r>
      <w:r>
        <w:rPr>
          <w:rFonts w:hint="default" w:ascii="Times New Roman" w:hAnsi="Times New Roman" w:eastAsia="仿宋_GB2312" w:cs="Times New Roman"/>
          <w:sz w:val="32"/>
          <w:szCs w:val="32"/>
        </w:rPr>
        <w:t>。</w:t>
      </w:r>
    </w:p>
    <w:p>
      <w:pPr>
        <w:spacing w:line="560" w:lineRule="exact"/>
        <w:ind w:firstLine="640"/>
        <w:rPr>
          <w:rFonts w:hint="default" w:ascii="Times New Roman" w:hAnsi="Times New Roman" w:eastAsia="仿宋_GB2312" w:cs="Times New Roman"/>
          <w:sz w:val="32"/>
          <w:szCs w:val="32"/>
        </w:rPr>
      </w:pPr>
    </w:p>
    <w:p>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附件：昆明市饮净水”专项行动工作任务清单</w:t>
      </w:r>
    </w:p>
    <w:p>
      <w:pPr>
        <w:spacing w:line="560" w:lineRule="exact"/>
        <w:ind w:firstLine="640"/>
        <w:rPr>
          <w:rFonts w:hint="default" w:ascii="Times New Roman" w:hAnsi="Times New Roman" w:eastAsia="仿宋_GB2312" w:cs="Times New Roman"/>
          <w:sz w:val="32"/>
          <w:szCs w:val="32"/>
        </w:rPr>
      </w:pPr>
    </w:p>
    <w:p>
      <w:pPr>
        <w:spacing w:line="560" w:lineRule="exact"/>
        <w:ind w:firstLine="640"/>
        <w:rPr>
          <w:rFonts w:hint="default" w:ascii="Times New Roman" w:hAnsi="Times New Roman" w:eastAsia="仿宋_GB2312" w:cs="Times New Roman"/>
          <w:sz w:val="32"/>
          <w:szCs w:val="32"/>
        </w:rPr>
      </w:pPr>
    </w:p>
    <w:p>
      <w:pPr>
        <w:spacing w:line="560" w:lineRule="exact"/>
        <w:ind w:firstLine="5667" w:firstLineChars="177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昆明市水务局</w:t>
      </w:r>
    </w:p>
    <w:p>
      <w:pPr>
        <w:spacing w:line="560" w:lineRule="exact"/>
        <w:ind w:firstLine="5667" w:firstLineChars="177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2025年7月29日</w:t>
      </w:r>
    </w:p>
    <w:p>
      <w:pPr>
        <w:spacing w:line="560" w:lineRule="exact"/>
        <w:ind w:firstLine="640"/>
        <w:rPr>
          <w:rFonts w:hint="default" w:ascii="Times New Roman" w:hAnsi="Times New Roman"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81" w:charSpace="0"/>
        </w:sectPr>
      </w:pPr>
    </w:p>
    <w:p>
      <w:pPr>
        <w:spacing w:line="560" w:lineRule="exact"/>
        <w:ind w:firstLine="640"/>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eastAsia="zh-CN"/>
        </w:rPr>
        <w:t>：</w:t>
      </w:r>
    </w:p>
    <w:p>
      <w:pPr>
        <w:spacing w:line="560" w:lineRule="exact"/>
        <w:ind w:firstLine="64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昆明市“饮净水”专项行动工作任务清单</w:t>
      </w:r>
    </w:p>
    <w:p>
      <w:pPr>
        <w:spacing w:line="560" w:lineRule="exact"/>
        <w:ind w:firstLine="640"/>
        <w:jc w:val="center"/>
        <w:rPr>
          <w:rFonts w:hint="default" w:ascii="Times New Roman" w:hAnsi="Times New Roman" w:eastAsia="黑体" w:cs="Times New Roman"/>
          <w:sz w:val="32"/>
          <w:szCs w:val="32"/>
        </w:rPr>
      </w:pPr>
      <w:bookmarkStart w:id="0" w:name="_GoBack"/>
      <w:bookmarkEnd w:id="0"/>
    </w:p>
    <w:tbl>
      <w:tblPr>
        <w:tblStyle w:val="17"/>
        <w:tblW w:w="137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175"/>
        <w:gridCol w:w="10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1577" w:hRule="atLeast"/>
        </w:trPr>
        <w:tc>
          <w:tcPr>
            <w:tcW w:w="3175" w:type="dxa"/>
            <w:vAlign w:val="center"/>
          </w:tcPr>
          <w:p>
            <w:pPr>
              <w:spacing w:line="240" w:lineRule="auto"/>
              <w:ind w:firstLine="0" w:firstLineChars="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行动目标</w:t>
            </w:r>
          </w:p>
        </w:tc>
        <w:tc>
          <w:tcPr>
            <w:tcW w:w="10545" w:type="dxa"/>
            <w:vAlign w:val="center"/>
          </w:tcPr>
          <w:p>
            <w:pPr>
              <w:spacing w:line="240" w:lineRule="auto"/>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水量足、水压稳、水质优为主要目标，加强集中式饮用水水源地保护，强化城乡供水设施建设运营，完善二次供水设施长效管理机制，扩大城乡水质监测覆盖范围。实现水源地监管能力、城乡供水运行效能、供水应急能力全面提升。全方位、全过程保障人民群众饮用水干净、安全，引导群众喝放心水、喝健康水。</w:t>
            </w:r>
          </w:p>
          <w:p>
            <w:pPr>
              <w:spacing w:line="240" w:lineRule="auto"/>
              <w:ind w:firstLine="0" w:firstLineChars="0"/>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680" w:hRule="atLeast"/>
        </w:trPr>
        <w:tc>
          <w:tcPr>
            <w:tcW w:w="3175" w:type="dxa"/>
            <w:vAlign w:val="center"/>
          </w:tcPr>
          <w:p>
            <w:pPr>
              <w:spacing w:line="240" w:lineRule="auto"/>
              <w:ind w:firstLine="0" w:firstLineChars="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重点任务</w:t>
            </w:r>
          </w:p>
        </w:tc>
        <w:tc>
          <w:tcPr>
            <w:tcW w:w="10545" w:type="dxa"/>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具体工作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Pr>
        <w:tc>
          <w:tcPr>
            <w:tcW w:w="3175" w:type="dxa"/>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（一）严格集中式饮用水水源地保护</w:t>
            </w:r>
          </w:p>
        </w:tc>
        <w:tc>
          <w:tcPr>
            <w:tcW w:w="10545" w:type="dxa"/>
            <w:vAlign w:val="center"/>
          </w:tcPr>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推进集中式饮用水水源地规范化建设，开展县级及以上集中式饮用水水源地不达标整治。加强集中式饮用水水源地监管能力建设，加强县级及以上集中式饮用水水源水质监测分析预警，完善集中式饮用水水源风险防控机制，确保水源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1475" w:hRule="atLeast"/>
        </w:trPr>
        <w:tc>
          <w:tcPr>
            <w:tcW w:w="3175" w:type="dxa"/>
            <w:vMerge w:val="restart"/>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（二）规范城乡供水设施建设运营</w:t>
            </w:r>
          </w:p>
        </w:tc>
        <w:tc>
          <w:tcPr>
            <w:tcW w:w="10545" w:type="dxa"/>
            <w:vMerge w:val="restart"/>
            <w:vAlign w:val="center"/>
          </w:tcPr>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深入实施农村供水水质提升专项行动，因地制宜配套净化和消毒设施设备，推动有条件的城市供水管网向周边村镇拓展延伸，进一步提升农村供水保障水平。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312" w:hRule="atLeast"/>
        </w:trPr>
        <w:tc>
          <w:tcPr>
            <w:tcW w:w="3175" w:type="dxa"/>
            <w:vMerge w:val="continue"/>
            <w:vAlign w:val="center"/>
          </w:tcPr>
          <w:p>
            <w:pPr>
              <w:spacing w:line="240" w:lineRule="auto"/>
              <w:ind w:firstLine="0" w:firstLineChars="0"/>
              <w:jc w:val="center"/>
              <w:rPr>
                <w:rFonts w:hint="default" w:ascii="Times New Roman" w:hAnsi="Times New Roman" w:eastAsia="仿宋_GB2312" w:cs="Times New Roman"/>
                <w:sz w:val="24"/>
                <w:szCs w:val="24"/>
              </w:rPr>
            </w:pPr>
          </w:p>
        </w:tc>
        <w:tc>
          <w:tcPr>
            <w:tcW w:w="10545" w:type="dxa"/>
            <w:vMerge w:val="continue"/>
            <w:vAlign w:val="center"/>
          </w:tcPr>
          <w:p>
            <w:pPr>
              <w:spacing w:line="240" w:lineRule="auto"/>
              <w:ind w:firstLine="0" w:firstLineChars="0"/>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1640" w:hRule="atLeast"/>
        </w:trPr>
        <w:tc>
          <w:tcPr>
            <w:tcW w:w="3175" w:type="dxa"/>
            <w:vMerge w:val="continue"/>
            <w:vAlign w:val="center"/>
          </w:tcPr>
          <w:p>
            <w:pPr>
              <w:spacing w:line="240" w:lineRule="auto"/>
              <w:ind w:firstLine="0" w:firstLineChars="0"/>
              <w:jc w:val="center"/>
              <w:rPr>
                <w:rFonts w:hint="default" w:ascii="Times New Roman" w:hAnsi="Times New Roman" w:eastAsia="仿宋_GB2312" w:cs="Times New Roman"/>
                <w:sz w:val="24"/>
                <w:szCs w:val="24"/>
              </w:rPr>
            </w:pPr>
          </w:p>
        </w:tc>
        <w:tc>
          <w:tcPr>
            <w:tcW w:w="10545" w:type="dxa"/>
            <w:vAlign w:val="center"/>
          </w:tcPr>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定期开展城镇供水管网周期性排查评估，改造城市老旧供水管网1000 公里，消除隐患管网对水量、水质、水压的不良影响。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Height w:val="1639" w:hRule="atLeast"/>
        </w:trPr>
        <w:tc>
          <w:tcPr>
            <w:tcW w:w="3175" w:type="dxa"/>
            <w:vMerge w:val="continue"/>
            <w:vAlign w:val="center"/>
          </w:tcPr>
          <w:p>
            <w:pPr>
              <w:spacing w:line="240" w:lineRule="auto"/>
              <w:ind w:firstLine="0" w:firstLineChars="0"/>
              <w:jc w:val="center"/>
              <w:rPr>
                <w:rFonts w:hint="default" w:ascii="Times New Roman" w:hAnsi="Times New Roman" w:eastAsia="仿宋_GB2312" w:cs="Times New Roman"/>
                <w:sz w:val="24"/>
                <w:szCs w:val="24"/>
              </w:rPr>
            </w:pPr>
          </w:p>
        </w:tc>
        <w:tc>
          <w:tcPr>
            <w:tcW w:w="10545" w:type="dxa"/>
            <w:vAlign w:val="center"/>
          </w:tcPr>
          <w:p>
            <w:pPr>
              <w:spacing w:line="240" w:lineRule="auto"/>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按照《城镇供水厂运行、维护及安全技术规程》、《城镇供水管网运行、维护及安全技术规程》等规定，推动自来水厂规范化运营管理，提升供水质量。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Pr>
        <w:tc>
          <w:tcPr>
            <w:tcW w:w="3175" w:type="dxa"/>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（三）保障群众高品质饮水</w:t>
            </w:r>
          </w:p>
        </w:tc>
        <w:tc>
          <w:tcPr>
            <w:tcW w:w="10545" w:type="dxa"/>
            <w:vAlign w:val="center"/>
          </w:tcPr>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加强二次供水设施建设、改造、维护过程管控，严格每年两次清洗消毒。健全完善二次供水常态化管理机制，已建二次供水设施逐步移交城市供水单位运行维护，实施专业化管理。加强包装饮用水、直饮水监管，严格落实消毒措施，定期更换直饮水滤芯装置，依法依规查处违法违规行为。提升用水缴费、信息变更、自助查询等智慧化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Pr>
        <w:tc>
          <w:tcPr>
            <w:tcW w:w="3175" w:type="dxa"/>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（四）严格水质全过程监测和信息公开</w:t>
            </w:r>
          </w:p>
        </w:tc>
        <w:tc>
          <w:tcPr>
            <w:tcW w:w="10545" w:type="dxa"/>
            <w:vAlign w:val="center"/>
          </w:tcPr>
          <w:p>
            <w:pPr>
              <w:spacing w:line="240" w:lineRule="auto"/>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推动水质监测信息共享，及时准确向公众公开检测结果。开展水厂开放日活动，宣传城乡供水用水节水，倡导节约用水、健康饮水。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After w:w="0" w:type="auto"/>
        </w:trPr>
        <w:tc>
          <w:tcPr>
            <w:tcW w:w="3175" w:type="dxa"/>
            <w:vAlign w:val="center"/>
          </w:tcPr>
          <w:p>
            <w:pPr>
              <w:spacing w:line="240" w:lineRule="auto"/>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（五）加强供水应急能力建设</w:t>
            </w:r>
          </w:p>
        </w:tc>
        <w:tc>
          <w:tcPr>
            <w:tcW w:w="10545" w:type="dxa"/>
            <w:vAlign w:val="center"/>
          </w:tcPr>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加强从水源水到龙头水全过程应急处置能力建设，按照规定储备管材、水泵、消毒剂等应急抢险物资，提升专业人才队伍应急能力。</w:t>
            </w:r>
          </w:p>
          <w:p>
            <w:pPr>
              <w:spacing w:line="240" w:lineRule="auto"/>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完善应急预案，规范应急处置流程，定期开展应急演练，发现并解决群众饮水全过程潜在的风险和隐患，提升城乡供水韧性。</w:t>
            </w:r>
          </w:p>
        </w:tc>
      </w:tr>
    </w:tbl>
    <w:p>
      <w:pPr>
        <w:spacing w:line="560" w:lineRule="exact"/>
        <w:ind w:firstLine="640"/>
        <w:rPr>
          <w:rFonts w:hint="default" w:ascii="Times New Roman" w:hAnsi="Times New Roman" w:eastAsia="仿宋_GB2312" w:cs="Times New Roman"/>
          <w:sz w:val="32"/>
          <w:szCs w:val="32"/>
        </w:rPr>
      </w:pPr>
    </w:p>
    <w:sectPr>
      <w:pgSz w:w="16838" w:h="11906" w:orient="landscape"/>
      <w:pgMar w:top="1800" w:right="1440" w:bottom="1800" w:left="1440" w:header="851" w:footer="992" w:gutter="0"/>
      <w:pgNumType w:fmt="numberInDash"/>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2"/>
      <w:isLgl/>
      <w:suff w:val="space"/>
      <w:lvlText w:val="第%1章"/>
      <w:lvlJc w:val="left"/>
      <w:pPr>
        <w:ind w:left="0" w:firstLine="0"/>
      </w:pPr>
      <w:rPr>
        <w:rFonts w:hint="default" w:ascii="Times New Roman" w:hAnsi="Times New Roman" w:eastAsia="黑体" w:cs="Times New Roman"/>
        <w:b/>
        <w:bCs/>
        <w:sz w:val="44"/>
        <w:szCs w:val="44"/>
      </w:rPr>
    </w:lvl>
    <w:lvl w:ilvl="1" w:tentative="0">
      <w:start w:val="1"/>
      <w:numFmt w:val="decimal"/>
      <w:pStyle w:val="3"/>
      <w:isLgl/>
      <w:suff w:val="space"/>
      <w:lvlText w:val="%1.%2"/>
      <w:lvlJc w:val="left"/>
      <w:pPr>
        <w:ind w:left="0" w:firstLine="0"/>
      </w:pPr>
      <w:rPr>
        <w:rFonts w:hint="default" w:ascii="Times New Roman" w:hAnsi="Times New Roman" w:eastAsia="宋体" w:cs="Times New Roman"/>
        <w:sz w:val="28"/>
        <w:szCs w:val="28"/>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default" w:ascii="Times New Roman" w:hAnsi="Times New Roman" w:eastAsia="宋体" w:cs="Times New Roman"/>
        <w:sz w:val="28"/>
        <w:szCs w:val="28"/>
      </w:rPr>
    </w:lvl>
    <w:lvl w:ilvl="4" w:tentative="0">
      <w:start w:val="1"/>
      <w:numFmt w:val="decimal"/>
      <w:pStyle w:val="6"/>
      <w:isLgl/>
      <w:suff w:val="space"/>
      <w:lvlText w:val="%1.%2.%3.%4.%5"/>
      <w:lvlJc w:val="left"/>
      <w:pPr>
        <w:ind w:left="0" w:firstLine="0"/>
      </w:pPr>
      <w:rPr>
        <w:rFonts w:hint="default" w:ascii="Times New Roman" w:hAnsi="Times New Roman" w:eastAsia="宋体" w:cs="Times New Roman"/>
        <w:sz w:val="28"/>
        <w:szCs w:val="28"/>
      </w:rPr>
    </w:lvl>
    <w:lvl w:ilvl="5" w:tentative="0">
      <w:start w:val="1"/>
      <w:numFmt w:val="decimal"/>
      <w:pStyle w:val="7"/>
      <w:isLgl/>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7F03F5"/>
    <w:rsid w:val="1ACC4D89"/>
    <w:rsid w:val="28D25F89"/>
    <w:rsid w:val="4CFFCEB2"/>
    <w:rsid w:val="56E9B917"/>
    <w:rsid w:val="57F30CC9"/>
    <w:rsid w:val="65FC6757"/>
    <w:rsid w:val="6B412CD3"/>
    <w:rsid w:val="75DB8FE5"/>
    <w:rsid w:val="BF470C32"/>
    <w:rsid w:val="DFF5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宋体"/>
      <w:kern w:val="2"/>
      <w:sz w:val="28"/>
      <w:szCs w:val="28"/>
      <w:lang w:val="en-US" w:eastAsia="zh-CN" w:bidi="ar-SA"/>
    </w:rPr>
  </w:style>
  <w:style w:type="paragraph" w:styleId="2">
    <w:name w:val="heading 1"/>
    <w:basedOn w:val="1"/>
    <w:next w:val="1"/>
    <w:link w:val="19"/>
    <w:qFormat/>
    <w:uiPriority w:val="0"/>
    <w:pPr>
      <w:keepNext/>
      <w:keepLines/>
      <w:numPr>
        <w:ilvl w:val="0"/>
        <w:numId w:val="1"/>
      </w:numPr>
      <w:tabs>
        <w:tab w:val="left" w:pos="0"/>
      </w:tabs>
      <w:spacing w:before="120" w:after="120"/>
      <w:ind w:firstLineChars="0"/>
      <w:jc w:val="center"/>
      <w:outlineLvl w:val="0"/>
    </w:pPr>
    <w:rPr>
      <w:rFonts w:eastAsia="黑体"/>
      <w:b/>
      <w:kern w:val="44"/>
      <w:sz w:val="44"/>
    </w:rPr>
  </w:style>
  <w:style w:type="paragraph" w:styleId="3">
    <w:name w:val="heading 2"/>
    <w:basedOn w:val="1"/>
    <w:next w:val="1"/>
    <w:link w:val="20"/>
    <w:qFormat/>
    <w:uiPriority w:val="0"/>
    <w:pPr>
      <w:keepNext/>
      <w:keepLines/>
      <w:numPr>
        <w:ilvl w:val="1"/>
        <w:numId w:val="1"/>
      </w:numPr>
      <w:spacing w:before="120" w:after="120"/>
      <w:ind w:firstLineChars="0"/>
      <w:outlineLvl w:val="1"/>
    </w:pPr>
    <w:rPr>
      <w:rFonts w:ascii="Arial" w:hAnsi="Arial" w:eastAsia="黑体"/>
      <w:b/>
    </w:rPr>
  </w:style>
  <w:style w:type="paragraph" w:styleId="4">
    <w:name w:val="heading 3"/>
    <w:basedOn w:val="1"/>
    <w:next w:val="1"/>
    <w:link w:val="21"/>
    <w:qFormat/>
    <w:uiPriority w:val="0"/>
    <w:pPr>
      <w:keepNext/>
      <w:keepLines/>
      <w:numPr>
        <w:ilvl w:val="2"/>
        <w:numId w:val="1"/>
      </w:numPr>
      <w:tabs>
        <w:tab w:val="left" w:pos="0"/>
      </w:tabs>
      <w:spacing w:before="120" w:after="120" w:line="240" w:lineRule="auto"/>
      <w:ind w:firstLineChars="0"/>
      <w:outlineLvl w:val="2"/>
    </w:pPr>
    <w:rPr>
      <w:rFonts w:eastAsia="黑体"/>
      <w:b/>
    </w:rPr>
  </w:style>
  <w:style w:type="paragraph" w:styleId="5">
    <w:name w:val="heading 4"/>
    <w:basedOn w:val="1"/>
    <w:next w:val="1"/>
    <w:link w:val="22"/>
    <w:qFormat/>
    <w:uiPriority w:val="0"/>
    <w:pPr>
      <w:keepNext/>
      <w:keepLines/>
      <w:numPr>
        <w:ilvl w:val="3"/>
        <w:numId w:val="1"/>
      </w:numPr>
      <w:tabs>
        <w:tab w:val="left" w:pos="0"/>
      </w:tabs>
      <w:spacing w:before="120" w:after="120"/>
      <w:ind w:firstLineChars="0"/>
      <w:outlineLvl w:val="3"/>
    </w:pPr>
    <w:rPr>
      <w:rFonts w:eastAsia="黑体"/>
      <w:b/>
    </w:rPr>
  </w:style>
  <w:style w:type="paragraph" w:styleId="6">
    <w:name w:val="heading 5"/>
    <w:basedOn w:val="1"/>
    <w:next w:val="1"/>
    <w:link w:val="23"/>
    <w:qFormat/>
    <w:uiPriority w:val="0"/>
    <w:pPr>
      <w:keepNext/>
      <w:keepLines/>
      <w:numPr>
        <w:ilvl w:val="4"/>
        <w:numId w:val="1"/>
      </w:numPr>
      <w:tabs>
        <w:tab w:val="left" w:pos="0"/>
      </w:tabs>
      <w:spacing w:before="120" w:after="120"/>
      <w:ind w:firstLineChars="0"/>
      <w:outlineLvl w:val="4"/>
    </w:pPr>
    <w:rPr>
      <w:rFonts w:eastAsia="黑体"/>
      <w:b/>
    </w:rPr>
  </w:style>
  <w:style w:type="paragraph" w:styleId="7">
    <w:name w:val="heading 6"/>
    <w:basedOn w:val="1"/>
    <w:next w:val="1"/>
    <w:link w:val="26"/>
    <w:qFormat/>
    <w:uiPriority w:val="0"/>
    <w:pPr>
      <w:keepNext/>
      <w:keepLines/>
      <w:numPr>
        <w:ilvl w:val="5"/>
        <w:numId w:val="1"/>
      </w:numPr>
      <w:ind w:firstLineChars="0"/>
      <w:jc w:val="left"/>
      <w:outlineLvl w:val="5"/>
    </w:pPr>
    <w:rPr>
      <w:rFonts w:ascii="等线 Light" w:hAnsi="等线 Light" w:eastAsia="黑体" w:cs="宋体"/>
      <w:b/>
      <w:bCs/>
      <w:szCs w:val="24"/>
    </w:rPr>
  </w:style>
  <w:style w:type="paragraph" w:styleId="8">
    <w:name w:val="heading 7"/>
    <w:basedOn w:val="1"/>
    <w:next w:val="1"/>
    <w:link w:val="27"/>
    <w:qFormat/>
    <w:uiPriority w:val="9"/>
    <w:pPr>
      <w:keepNext/>
      <w:keepLines/>
      <w:spacing w:before="40"/>
      <w:outlineLvl w:val="6"/>
    </w:pPr>
    <w:rPr>
      <w:rFonts w:ascii="等线" w:hAnsi="等线" w:eastAsia="等线" w:cs="宋体"/>
      <w:b/>
      <w:bCs/>
      <w:color w:val="595959"/>
    </w:rPr>
  </w:style>
  <w:style w:type="paragraph" w:styleId="9">
    <w:name w:val="heading 8"/>
    <w:basedOn w:val="1"/>
    <w:next w:val="1"/>
    <w:link w:val="28"/>
    <w:qFormat/>
    <w:uiPriority w:val="9"/>
    <w:pPr>
      <w:keepNext/>
      <w:keepLines/>
      <w:outlineLvl w:val="7"/>
    </w:pPr>
    <w:rPr>
      <w:rFonts w:ascii="等线" w:hAnsi="等线" w:eastAsia="等线" w:cs="宋体"/>
      <w:color w:val="595959"/>
    </w:rPr>
  </w:style>
  <w:style w:type="paragraph" w:styleId="10">
    <w:name w:val="heading 9"/>
    <w:basedOn w:val="1"/>
    <w:next w:val="1"/>
    <w:link w:val="29"/>
    <w:qFormat/>
    <w:uiPriority w:val="9"/>
    <w:pPr>
      <w:keepNext/>
      <w:keepLines/>
      <w:outlineLvl w:val="8"/>
    </w:pPr>
    <w:rPr>
      <w:rFonts w:ascii="等线" w:hAnsi="等线" w:eastAsia="等线 Light" w:cs="宋体"/>
      <w:color w:val="595959"/>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11">
    <w:name w:val="caption"/>
    <w:basedOn w:val="1"/>
    <w:next w:val="1"/>
    <w:qFormat/>
    <w:uiPriority w:val="0"/>
    <w:pPr>
      <w:ind w:firstLine="0" w:firstLineChars="0"/>
      <w:jc w:val="center"/>
    </w:pPr>
    <w:rPr>
      <w:rFonts w:ascii="Arial" w:hAnsi="Arial" w:eastAsia="黑体"/>
      <w:sz w:val="24"/>
    </w:rPr>
  </w:style>
  <w:style w:type="paragraph" w:styleId="12">
    <w:name w:val="footer"/>
    <w:basedOn w:val="1"/>
    <w:link w:val="39"/>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8"/>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numPr>
        <w:ilvl w:val="1"/>
        <w:numId w:val="0"/>
      </w:numPr>
      <w:spacing w:after="160"/>
      <w:ind w:firstLine="420" w:firstLineChars="200"/>
      <w:jc w:val="center"/>
    </w:pPr>
    <w:rPr>
      <w:rFonts w:ascii="等线 Light" w:hAnsi="等线 Light" w:eastAsia="等线 Light" w:cs="宋体"/>
      <w:color w:val="595959"/>
      <w:spacing w:val="15"/>
    </w:rPr>
  </w:style>
  <w:style w:type="paragraph" w:styleId="15">
    <w:name w:val="Title"/>
    <w:basedOn w:val="1"/>
    <w:next w:val="1"/>
    <w:link w:val="25"/>
    <w:qFormat/>
    <w:uiPriority w:val="10"/>
    <w:pPr>
      <w:spacing w:before="120" w:beforeLines="120" w:after="120" w:afterLines="120"/>
      <w:ind w:firstLine="0" w:firstLineChars="0"/>
      <w:jc w:val="center"/>
      <w:outlineLvl w:val="0"/>
    </w:pPr>
    <w:rPr>
      <w:rFonts w:cs="宋体"/>
      <w:b/>
      <w:bCs/>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0"/>
    <w:rPr>
      <w:rFonts w:ascii="Times New Roman" w:hAnsi="Times New Roman" w:eastAsia="黑体"/>
      <w:b/>
      <w:kern w:val="44"/>
      <w:sz w:val="44"/>
      <w:szCs w:val="28"/>
    </w:rPr>
  </w:style>
  <w:style w:type="character" w:customStyle="1" w:styleId="20">
    <w:name w:val="标题 2 字符"/>
    <w:basedOn w:val="18"/>
    <w:link w:val="3"/>
    <w:qFormat/>
    <w:uiPriority w:val="0"/>
    <w:rPr>
      <w:rFonts w:ascii="Arial" w:hAnsi="Arial" w:eastAsia="黑体"/>
      <w:b/>
      <w:sz w:val="28"/>
      <w:szCs w:val="28"/>
    </w:rPr>
  </w:style>
  <w:style w:type="character" w:customStyle="1" w:styleId="21">
    <w:name w:val="标题 3 字符"/>
    <w:basedOn w:val="18"/>
    <w:link w:val="4"/>
    <w:qFormat/>
    <w:uiPriority w:val="0"/>
    <w:rPr>
      <w:rFonts w:ascii="Times New Roman" w:hAnsi="Times New Roman" w:eastAsia="黑体"/>
      <w:b/>
      <w:sz w:val="28"/>
      <w:szCs w:val="28"/>
    </w:rPr>
  </w:style>
  <w:style w:type="character" w:customStyle="1" w:styleId="22">
    <w:name w:val="标题 4 字符"/>
    <w:basedOn w:val="18"/>
    <w:link w:val="5"/>
    <w:qFormat/>
    <w:uiPriority w:val="0"/>
    <w:rPr>
      <w:rFonts w:ascii="Times New Roman" w:hAnsi="Times New Roman" w:eastAsia="黑体"/>
      <w:b/>
      <w:sz w:val="28"/>
      <w:szCs w:val="28"/>
    </w:rPr>
  </w:style>
  <w:style w:type="character" w:customStyle="1" w:styleId="23">
    <w:name w:val="标题 5 字符"/>
    <w:basedOn w:val="18"/>
    <w:link w:val="6"/>
    <w:qFormat/>
    <w:uiPriority w:val="0"/>
    <w:rPr>
      <w:rFonts w:ascii="Times New Roman" w:hAnsi="Times New Roman" w:eastAsia="黑体"/>
      <w:b/>
      <w:sz w:val="28"/>
      <w:szCs w:val="28"/>
    </w:rPr>
  </w:style>
  <w:style w:type="paragraph" w:customStyle="1" w:styleId="24">
    <w:name w:val="表内容"/>
    <w:basedOn w:val="1"/>
    <w:qFormat/>
    <w:uiPriority w:val="99"/>
    <w:pPr>
      <w:adjustRightInd w:val="0"/>
      <w:snapToGrid w:val="0"/>
      <w:spacing w:line="288" w:lineRule="auto"/>
      <w:ind w:firstLine="0" w:firstLineChars="0"/>
      <w:jc w:val="center"/>
    </w:pPr>
    <w:rPr>
      <w:rFonts w:cs="Times New Roman"/>
      <w:sz w:val="21"/>
      <w:szCs w:val="21"/>
    </w:rPr>
  </w:style>
  <w:style w:type="character" w:customStyle="1" w:styleId="25">
    <w:name w:val="标题 字符"/>
    <w:basedOn w:val="18"/>
    <w:link w:val="15"/>
    <w:qFormat/>
    <w:uiPriority w:val="10"/>
    <w:rPr>
      <w:rFonts w:ascii="Times New Roman" w:hAnsi="Times New Roman" w:eastAsia="仿宋" w:cs="宋体"/>
      <w:b/>
      <w:bCs/>
      <w:sz w:val="32"/>
      <w:szCs w:val="32"/>
    </w:rPr>
  </w:style>
  <w:style w:type="character" w:customStyle="1" w:styleId="26">
    <w:name w:val="标题 6 字符"/>
    <w:basedOn w:val="18"/>
    <w:link w:val="7"/>
    <w:qFormat/>
    <w:uiPriority w:val="0"/>
    <w:rPr>
      <w:rFonts w:ascii="等线 Light" w:hAnsi="等线 Light" w:eastAsia="黑体" w:cs="宋体"/>
      <w:b/>
      <w:bCs/>
      <w:sz w:val="28"/>
      <w:szCs w:val="24"/>
    </w:rPr>
  </w:style>
  <w:style w:type="character" w:customStyle="1" w:styleId="27">
    <w:name w:val="标题 7 字符"/>
    <w:basedOn w:val="18"/>
    <w:link w:val="8"/>
    <w:qFormat/>
    <w:uiPriority w:val="9"/>
    <w:rPr>
      <w:rFonts w:cs="宋体"/>
      <w:b/>
      <w:bCs/>
      <w:color w:val="595959"/>
      <w:sz w:val="28"/>
      <w:szCs w:val="28"/>
    </w:rPr>
  </w:style>
  <w:style w:type="character" w:customStyle="1" w:styleId="28">
    <w:name w:val="标题 8 字符"/>
    <w:basedOn w:val="18"/>
    <w:link w:val="9"/>
    <w:qFormat/>
    <w:uiPriority w:val="9"/>
    <w:rPr>
      <w:rFonts w:cs="宋体"/>
      <w:color w:val="595959"/>
      <w:sz w:val="28"/>
      <w:szCs w:val="28"/>
    </w:rPr>
  </w:style>
  <w:style w:type="character" w:customStyle="1" w:styleId="29">
    <w:name w:val="标题 9 字符"/>
    <w:basedOn w:val="18"/>
    <w:link w:val="10"/>
    <w:qFormat/>
    <w:uiPriority w:val="9"/>
    <w:rPr>
      <w:rFonts w:eastAsia="等线 Light" w:cs="宋体"/>
      <w:color w:val="595959"/>
      <w:sz w:val="28"/>
      <w:szCs w:val="28"/>
    </w:rPr>
  </w:style>
  <w:style w:type="character" w:customStyle="1" w:styleId="30">
    <w:name w:val="副标题 字符"/>
    <w:basedOn w:val="18"/>
    <w:link w:val="14"/>
    <w:qFormat/>
    <w:uiPriority w:val="11"/>
    <w:rPr>
      <w:rFonts w:ascii="等线 Light" w:hAnsi="等线 Light" w:eastAsia="等线 Light" w:cs="宋体"/>
      <w:color w:val="595959"/>
      <w:spacing w:val="15"/>
      <w:sz w:val="28"/>
      <w:szCs w:val="28"/>
    </w:rPr>
  </w:style>
  <w:style w:type="paragraph" w:styleId="31">
    <w:name w:val="Quote"/>
    <w:basedOn w:val="1"/>
    <w:next w:val="1"/>
    <w:link w:val="32"/>
    <w:qFormat/>
    <w:uiPriority w:val="29"/>
    <w:pPr>
      <w:spacing w:before="160" w:after="160"/>
      <w:jc w:val="center"/>
    </w:pPr>
    <w:rPr>
      <w:i/>
      <w:iCs/>
      <w:color w:val="404040"/>
    </w:rPr>
  </w:style>
  <w:style w:type="character" w:customStyle="1" w:styleId="32">
    <w:name w:val="引用 字符"/>
    <w:basedOn w:val="18"/>
    <w:link w:val="31"/>
    <w:qFormat/>
    <w:uiPriority w:val="29"/>
    <w:rPr>
      <w:rFonts w:ascii="Times New Roman" w:hAnsi="Times New Roman" w:eastAsia="仿宋"/>
      <w:i/>
      <w:iCs/>
      <w:color w:val="404040"/>
      <w:sz w:val="28"/>
      <w:szCs w:val="28"/>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0F4761"/>
    </w:rPr>
  </w:style>
  <w:style w:type="paragraph" w:styleId="35">
    <w:name w:val="Intense Quote"/>
    <w:basedOn w:val="1"/>
    <w:next w:val="1"/>
    <w:link w:val="36"/>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6">
    <w:name w:val="明显引用 字符"/>
    <w:basedOn w:val="18"/>
    <w:link w:val="35"/>
    <w:qFormat/>
    <w:uiPriority w:val="30"/>
    <w:rPr>
      <w:rFonts w:ascii="Times New Roman" w:hAnsi="Times New Roman" w:eastAsia="仿宋"/>
      <w:i/>
      <w:iCs/>
      <w:color w:val="0F4761"/>
      <w:sz w:val="28"/>
      <w:szCs w:val="28"/>
    </w:rPr>
  </w:style>
  <w:style w:type="character" w:customStyle="1" w:styleId="37">
    <w:name w:val="Intense Reference"/>
    <w:basedOn w:val="18"/>
    <w:qFormat/>
    <w:uiPriority w:val="32"/>
    <w:rPr>
      <w:b/>
      <w:bCs/>
      <w:smallCaps/>
      <w:color w:val="0F4761"/>
      <w:spacing w:val="5"/>
    </w:rPr>
  </w:style>
  <w:style w:type="character" w:customStyle="1" w:styleId="38">
    <w:name w:val="页眉 字符"/>
    <w:basedOn w:val="18"/>
    <w:link w:val="13"/>
    <w:qFormat/>
    <w:uiPriority w:val="99"/>
    <w:rPr>
      <w:rFonts w:ascii="Times New Roman" w:hAnsi="Times New Roman" w:eastAsia="仿宋"/>
      <w:sz w:val="18"/>
      <w:szCs w:val="18"/>
    </w:rPr>
  </w:style>
  <w:style w:type="character" w:customStyle="1" w:styleId="39">
    <w:name w:val="页脚 字符"/>
    <w:basedOn w:val="18"/>
    <w:link w:val="12"/>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1590</Words>
  <Characters>1649</Characters>
  <Paragraphs>135</Paragraphs>
  <TotalTime>31</TotalTime>
  <ScaleCrop>false</ScaleCrop>
  <LinksUpToDate>false</LinksUpToDate>
  <CharactersWithSpaces>1655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2025-07-01T23:09:00Z</dcterms:created>
  <dc:creator>平 陈</dc:creator>
  <cp:lastModifiedBy>刘昕</cp:lastModifiedBy>
  <cp:lastPrinted>2025-09-12T22:57:00Z</cp:lastPrinted>
  <dcterms:modified xsi:type="dcterms:W3CDTF">2025-11-10T16:53:01Z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EBD7B1C6B27B469396A5C2EDE009A9FE_13</vt:lpwstr>
  </property>
  <property fmtid="{D5CDD505-2E9C-101B-9397-08002B2CF9AE}" pid="3" name="KSOTemplateDocerSaveRecord">
    <vt:lpwstr>eyJoZGlkIjoiNDI1NGQ4MDY4NjMxYWVlMzc3ODM2NDE0MmU1ODUxYzYiLCJ1c2VySWQiOiI0MjYxNjYwNDMifQ==</vt:lpwstr>
  </property>
  <property fmtid="{D5CDD505-2E9C-101B-9397-08002B2CF9AE}" pid="4" name="KSOProductBuildVer">
    <vt:lpwstr>2052-11.8.2.10251</vt:lpwstr>
  </property>
</Properties>
</file>